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5F10C050" w:rsidR="00103142" w:rsidRDefault="00E56976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69.2pt;margin-top:20.8pt;width:165pt;height:474.1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59593781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2.1.2</w:t>
                  </w:r>
                </w:p>
                <w:p w14:paraId="30FFF9D4" w14:textId="77777777" w:rsidR="009322F4" w:rsidRDefault="009322F4" w:rsidP="00A40E3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hi-IN"/>
                    </w:rPr>
                  </w:pPr>
                </w:p>
                <w:p w14:paraId="4D37B58A" w14:textId="564F0858" w:rsidR="00A40E3C" w:rsidRDefault="00A40E3C" w:rsidP="00A40E3C">
                  <w:pPr>
                    <w:jc w:val="center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A40E3C">
                    <w:rPr>
                      <w:b/>
                      <w:bCs/>
                      <w:sz w:val="28"/>
                      <w:szCs w:val="28"/>
                      <w:lang w:bidi="hi-IN"/>
                    </w:rPr>
                    <w:t xml:space="preserve">Average percentage of seats filled against reserved categories (SC, ST, OBC, </w:t>
                  </w:r>
                  <w:proofErr w:type="spellStart"/>
                  <w:r w:rsidRPr="00A40E3C">
                    <w:rPr>
                      <w:b/>
                      <w:bCs/>
                      <w:sz w:val="28"/>
                      <w:szCs w:val="28"/>
                      <w:lang w:bidi="hi-IN"/>
                    </w:rPr>
                    <w:t>Divyangjan</w:t>
                  </w:r>
                  <w:proofErr w:type="spellEnd"/>
                  <w:r w:rsidRPr="00A40E3C">
                    <w:rPr>
                      <w:b/>
                      <w:bCs/>
                      <w:sz w:val="28"/>
                      <w:szCs w:val="28"/>
                      <w:lang w:bidi="hi-IN"/>
                    </w:rPr>
                    <w:t>, etc.) as per applicable reservation policy during the last five years</w:t>
                  </w:r>
                </w:p>
                <w:p w14:paraId="6D3C4BAB" w14:textId="77777777" w:rsidR="00A40E3C" w:rsidRDefault="00A40E3C" w:rsidP="00A40E3C">
                  <w:pPr>
                    <w:rPr>
                      <w:rFonts w:ascii="Calibri" w:hAnsi="Calibri"/>
                      <w:sz w:val="20"/>
                      <w:szCs w:val="20"/>
                      <w:lang w:bidi="as-IN"/>
                    </w:rPr>
                  </w:pPr>
                  <w: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763DFA6F" w:rsidR="00A40E3C" w:rsidRDefault="00A40E3C"/>
    <w:p w14:paraId="42BD6072" w14:textId="7629D372" w:rsidR="00143EBD" w:rsidRDefault="00143EBD"/>
    <w:p w14:paraId="3DA1BB0B" w14:textId="00916DF1" w:rsidR="00143EBD" w:rsidRDefault="00143EBD"/>
    <w:p w14:paraId="66335AF7" w14:textId="77777777" w:rsidR="00143EBD" w:rsidRDefault="00143EBD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tbl>
      <w:tblPr>
        <w:tblW w:w="10774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110"/>
        <w:gridCol w:w="5387"/>
      </w:tblGrid>
      <w:tr w:rsidR="00A40E3C" w14:paraId="379226A2" w14:textId="77777777" w:rsidTr="005C2B0C">
        <w:trPr>
          <w:trHeight w:val="3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5B9" w14:textId="118559F0" w:rsidR="00A40E3C" w:rsidRPr="00A40E3C" w:rsidRDefault="00E56976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547A93F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67" type="#_x0000_t201" style="position:absolute;left:0;text-align:left;margin-left:47.55pt;margin-top:394.25pt;width:497.55pt;height:287.95pt;z-index:251662336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textbox inset="0,0,0,0"/>
                </v:shape>
              </w:pict>
            </w:r>
            <w:r w:rsidR="00A40E3C" w:rsidRPr="00A40E3C">
              <w:rPr>
                <w:sz w:val="28"/>
                <w:szCs w:val="28"/>
              </w:rPr>
              <w:t>Metric No.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761C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A16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A40E3C" w14:paraId="54A9F047" w14:textId="77777777" w:rsidTr="005C2B0C">
        <w:trPr>
          <w:trHeight w:val="92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7C96" w14:textId="5DB419AD" w:rsidR="00A40E3C" w:rsidRPr="00A40E3C" w:rsidRDefault="00A40E3C" w:rsidP="006B670C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357A" w14:textId="6818AF6F" w:rsidR="00A40E3C" w:rsidRPr="00A40E3C" w:rsidRDefault="00A40E3C" w:rsidP="006B670C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HEI needs to re-verify the data. Data provided by the HEI does not match with the claimed data.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FBDD" w14:textId="160F28A4" w:rsidR="00A40E3C" w:rsidRDefault="00A40E3C" w:rsidP="006B670C">
            <w:pPr>
              <w:pStyle w:val="BodyText"/>
              <w:ind w:left="71" w:hanging="71"/>
            </w:pPr>
            <w:r w:rsidRPr="00A40E3C">
              <w:rPr>
                <w:b w:val="0"/>
                <w:bCs w:val="0"/>
                <w:sz w:val="22"/>
                <w:szCs w:val="22"/>
              </w:rPr>
              <w:t xml:space="preserve">Data have been reverified and updated accordingly. </w:t>
            </w:r>
          </w:p>
        </w:tc>
      </w:tr>
      <w:tr w:rsidR="006B670C" w14:paraId="190A5C91" w14:textId="77777777" w:rsidTr="005C2B0C">
        <w:trPr>
          <w:trHeight w:val="195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C42" w14:textId="77777777" w:rsidR="006B670C" w:rsidRDefault="006B670C">
            <w:pPr>
              <w:pStyle w:val="BodyText"/>
              <w:rPr>
                <w:b w:val="0"/>
                <w:bCs w:val="0"/>
              </w:rPr>
            </w:pPr>
          </w:p>
          <w:p w14:paraId="204931E0" w14:textId="59656113" w:rsidR="006B670C" w:rsidRPr="006B670C" w:rsidRDefault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</w:rPr>
              <w:t>2.1.2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281B" w14:textId="506BFA12" w:rsidR="006B670C" w:rsidRPr="006B670C" w:rsidRDefault="006B670C" w:rsidP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>HEI needs to provide a copy of the letter issued by the State govt. or Central Government Indicating the reserved categories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(SC, ST, OBC, </w:t>
            </w:r>
            <w:proofErr w:type="spellStart"/>
            <w:r w:rsidRPr="00A40E3C">
              <w:rPr>
                <w:b w:val="0"/>
                <w:bCs w:val="0"/>
                <w:sz w:val="22"/>
                <w:szCs w:val="22"/>
              </w:rPr>
              <w:t>Divyangjan</w:t>
            </w:r>
            <w:proofErr w:type="spellEnd"/>
            <w:r w:rsidRPr="00A40E3C">
              <w:rPr>
                <w:b w:val="0"/>
                <w:bCs w:val="0"/>
                <w:sz w:val="22"/>
                <w:szCs w:val="22"/>
              </w:rPr>
              <w:t xml:space="preserve">, etc.) to be considered as per the state rule (Translated copy in English to be provided as applicable).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942C" w14:textId="0DC8F066" w:rsidR="006B670C" w:rsidRDefault="006B670C" w:rsidP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 xml:space="preserve">A Copy of the UGC letter issued in reference to implementation of reservation policy </w:t>
            </w:r>
            <w:r w:rsidR="00E76B24">
              <w:rPr>
                <w:b w:val="0"/>
                <w:bCs w:val="0"/>
                <w:sz w:val="22"/>
                <w:szCs w:val="22"/>
              </w:rPr>
              <w:t>is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 provided </w:t>
            </w:r>
            <w:r w:rsidR="00E76B24">
              <w:rPr>
                <w:b w:val="0"/>
                <w:bCs w:val="0"/>
                <w:sz w:val="22"/>
                <w:szCs w:val="22"/>
              </w:rPr>
              <w:t>in the following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 link</w:t>
            </w:r>
            <w:r w:rsidR="00E76B24">
              <w:rPr>
                <w:b w:val="0"/>
                <w:bCs w:val="0"/>
                <w:sz w:val="22"/>
                <w:szCs w:val="22"/>
              </w:rPr>
              <w:t>:</w:t>
            </w:r>
          </w:p>
          <w:p w14:paraId="09707DAF" w14:textId="77777777" w:rsidR="00E76B24" w:rsidRPr="00A40E3C" w:rsidRDefault="00E76B24" w:rsidP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6CAC4149" w14:textId="1E45F9BD" w:rsidR="006B670C" w:rsidRPr="00A40E3C" w:rsidRDefault="006B670C" w:rsidP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> </w:t>
            </w:r>
            <w:hyperlink r:id="rId8" w:history="1">
              <w:r w:rsidR="00E76B24"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https://luit.tezu.ernet.in/naac2/DVV/Criterion_2/2.1.2/Govt._Notification_on_reservation.pdf</w:t>
              </w:r>
            </w:hyperlink>
            <w:r w:rsidR="00E76B2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4E0E6375" w14:textId="77777777" w:rsidR="006B670C" w:rsidRPr="006B670C" w:rsidRDefault="006B670C" w:rsidP="006B670C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B670C" w14:paraId="5FEC4064" w14:textId="77777777" w:rsidTr="005C2B0C">
        <w:trPr>
          <w:trHeight w:val="239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7D8" w14:textId="77777777" w:rsidR="006B670C" w:rsidRDefault="006B670C" w:rsidP="006B670C">
            <w:pPr>
              <w:pStyle w:val="BodyText"/>
              <w:rPr>
                <w:b w:val="0"/>
                <w:bCs w:val="0"/>
              </w:rPr>
            </w:pPr>
          </w:p>
          <w:p w14:paraId="52ABCA48" w14:textId="6FD709DD" w:rsidR="006B670C" w:rsidRPr="00A40E3C" w:rsidRDefault="006B670C" w:rsidP="006B670C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12CF" w14:textId="4686959B" w:rsidR="006B670C" w:rsidRPr="00A40E3C" w:rsidRDefault="006B670C" w:rsidP="006B670C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 xml:space="preserve">Also, the final admission list indicating the category as published by the HEI and endorsed by the competent authority </w:t>
            </w:r>
            <w:r w:rsidR="00E76B24" w:rsidRPr="00A40E3C">
              <w:rPr>
                <w:b w:val="0"/>
                <w:bCs w:val="0"/>
                <w:sz w:val="22"/>
                <w:szCs w:val="22"/>
              </w:rPr>
              <w:t>needs to be provided</w:t>
            </w:r>
            <w:r w:rsidR="00E76B24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87F5" w14:textId="77777777" w:rsidR="006B670C" w:rsidRPr="00A40E3C" w:rsidRDefault="006B670C" w:rsidP="006B67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 xml:space="preserve">Final admission list as endorsed by competent authority for the academic sessions 2016-17 through 2020-21 have been </w:t>
            </w:r>
            <w:r>
              <w:rPr>
                <w:b w:val="0"/>
                <w:bCs w:val="0"/>
                <w:sz w:val="22"/>
                <w:szCs w:val="22"/>
              </w:rPr>
              <w:t xml:space="preserve">provided as </w:t>
            </w:r>
            <w:r w:rsidRPr="00A40E3C">
              <w:rPr>
                <w:b w:val="0"/>
                <w:bCs w:val="0"/>
                <w:sz w:val="22"/>
                <w:szCs w:val="22"/>
              </w:rPr>
              <w:t>link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1565A32B" w14:textId="77777777" w:rsidR="005C2B0C" w:rsidRDefault="006B67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> </w:t>
            </w:r>
          </w:p>
          <w:p w14:paraId="3DDD4347" w14:textId="77777777" w:rsidR="006B670C" w:rsidRPr="005C2B0C" w:rsidRDefault="005C2B0C" w:rsidP="005C2B0C">
            <w:pPr>
              <w:pStyle w:val="BodyText"/>
              <w:rPr>
                <w:sz w:val="22"/>
                <w:szCs w:val="22"/>
              </w:rPr>
            </w:pPr>
            <w:r w:rsidRPr="005C2B0C">
              <w:rPr>
                <w:sz w:val="22"/>
                <w:szCs w:val="22"/>
              </w:rPr>
              <w:t>The following link provides a</w:t>
            </w:r>
            <w:r w:rsidR="00E76B24" w:rsidRPr="005C2B0C">
              <w:rPr>
                <w:sz w:val="22"/>
                <w:szCs w:val="22"/>
              </w:rPr>
              <w:t>dmission list for the session 2016-17</w:t>
            </w:r>
            <w:r w:rsidRPr="005C2B0C">
              <w:rPr>
                <w:sz w:val="22"/>
                <w:szCs w:val="22"/>
              </w:rPr>
              <w:t>:</w:t>
            </w:r>
            <w:r w:rsidR="00E76B24" w:rsidRPr="005C2B0C">
              <w:rPr>
                <w:sz w:val="22"/>
                <w:szCs w:val="22"/>
              </w:rPr>
              <w:t xml:space="preserve"> </w:t>
            </w:r>
          </w:p>
          <w:p w14:paraId="19F6DDB4" w14:textId="77777777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https://luit.tezu.ernet.in/naac2/DVV/Criterion_2/2.1.2/Student_admission_list_2016-17.pdf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24A40C2" w14:textId="77777777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55A34C29" w14:textId="38575F03" w:rsidR="005C2B0C" w:rsidRDefault="005C2B0C" w:rsidP="005C2B0C">
            <w:pPr>
              <w:pStyle w:val="BodyText"/>
              <w:rPr>
                <w:sz w:val="22"/>
                <w:szCs w:val="22"/>
              </w:rPr>
            </w:pPr>
            <w:r w:rsidRPr="005C2B0C">
              <w:rPr>
                <w:sz w:val="22"/>
                <w:szCs w:val="22"/>
              </w:rPr>
              <w:t>The following link provides admission list for the session 201</w:t>
            </w:r>
            <w:r>
              <w:rPr>
                <w:sz w:val="22"/>
                <w:szCs w:val="22"/>
              </w:rPr>
              <w:t>7</w:t>
            </w:r>
            <w:r w:rsidRPr="005C2B0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5C2B0C">
              <w:rPr>
                <w:sz w:val="22"/>
                <w:szCs w:val="22"/>
              </w:rPr>
              <w:t xml:space="preserve">: </w:t>
            </w:r>
          </w:p>
          <w:p w14:paraId="0AE4CE49" w14:textId="35FDEC8A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hyperlink r:id="rId10" w:history="1">
              <w:r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https://luit.tezu.ernet.in/naac2/DVV/Criterion_2/2.1.2/Student_admission_list_2017-18.pdf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968349C" w14:textId="66109315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24E76C17" w14:textId="3519D58D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5C2B0C">
              <w:rPr>
                <w:sz w:val="22"/>
                <w:szCs w:val="22"/>
              </w:rPr>
              <w:t>The following link provides admission list for the session 201</w:t>
            </w:r>
            <w:r>
              <w:rPr>
                <w:sz w:val="22"/>
                <w:szCs w:val="22"/>
              </w:rPr>
              <w:t>8</w:t>
            </w:r>
            <w:r w:rsidRPr="005C2B0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5C2B0C">
              <w:rPr>
                <w:sz w:val="22"/>
                <w:szCs w:val="22"/>
              </w:rPr>
              <w:t xml:space="preserve">: </w:t>
            </w:r>
          </w:p>
          <w:p w14:paraId="5844F4CA" w14:textId="6B21D2FD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hyperlink r:id="rId11" w:history="1">
              <w:r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https://luit.tezu.ernet.in/naac2/DVV/Criterion_2/2.1.2/Student_admission_list_2018-19.pdf</w:t>
              </w:r>
            </w:hyperlink>
          </w:p>
          <w:p w14:paraId="5AFB1BE6" w14:textId="3B22467C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2CF6C8BB" w14:textId="3ADCFB80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5C2B0C">
              <w:rPr>
                <w:sz w:val="22"/>
                <w:szCs w:val="22"/>
              </w:rPr>
              <w:t>The following link provides admission list for the session 201</w:t>
            </w:r>
            <w:r>
              <w:rPr>
                <w:sz w:val="22"/>
                <w:szCs w:val="22"/>
              </w:rPr>
              <w:t>9</w:t>
            </w:r>
            <w:r w:rsidRPr="005C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5C2B0C">
              <w:rPr>
                <w:sz w:val="22"/>
                <w:szCs w:val="22"/>
              </w:rPr>
              <w:t>:</w:t>
            </w:r>
          </w:p>
          <w:p w14:paraId="18C0FBB7" w14:textId="332EF8DE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hyperlink r:id="rId12" w:history="1">
              <w:r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https://luit.tezu.ernet.in/naac2/DVV/Criterion_2/2.1.2/Student_admission_list_2019-20.pdf</w:t>
              </w:r>
            </w:hyperlink>
          </w:p>
          <w:p w14:paraId="035C8D22" w14:textId="4AA9402E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5A100704" w14:textId="5D9D6994" w:rsid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5C2B0C">
              <w:rPr>
                <w:sz w:val="22"/>
                <w:szCs w:val="22"/>
              </w:rPr>
              <w:t>The following link provides admission list for the session 20</w:t>
            </w:r>
            <w:r>
              <w:rPr>
                <w:sz w:val="22"/>
                <w:szCs w:val="22"/>
              </w:rPr>
              <w:t>20</w:t>
            </w:r>
            <w:r w:rsidRPr="005C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</w:t>
            </w:r>
            <w:r w:rsidRPr="005C2B0C">
              <w:rPr>
                <w:sz w:val="22"/>
                <w:szCs w:val="22"/>
              </w:rPr>
              <w:t>:</w:t>
            </w:r>
          </w:p>
          <w:p w14:paraId="4E6CA7EC" w14:textId="41C92475" w:rsidR="005C2B0C" w:rsidRPr="005C2B0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hyperlink r:id="rId13" w:history="1">
              <w:r w:rsidRPr="00EF31D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https://luit.tezu.ernet.in/naac2/DVV/Criterion_2/2.1.2/Student_admission_list_2020-21.pdf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69EA6331" w14:textId="2EA3F066" w:rsidR="005C2B0C" w:rsidRPr="00A40E3C" w:rsidRDefault="005C2B0C" w:rsidP="005C2B0C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76B24" w14:paraId="2FDC9A83" w14:textId="77777777" w:rsidTr="005C2B0C">
        <w:trPr>
          <w:trHeight w:val="113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3826" w14:textId="5E766ABF" w:rsidR="00E76B24" w:rsidRDefault="00E76B24" w:rsidP="00E76B24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lastRenderedPageBreak/>
              <w:t>2.1.2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AD8D" w14:textId="630F7166" w:rsidR="00E76B24" w:rsidRPr="00A40E3C" w:rsidRDefault="00E76B24" w:rsidP="00E76B24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>Admission extract submitted to the state OBC, SC and ST cell every year needs to be provided.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94D8" w14:textId="77777777" w:rsidR="00143EBD" w:rsidRDefault="005C2B0C" w:rsidP="00E76B24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  <w:r w:rsidRPr="005C2B0C">
              <w:rPr>
                <w:b w:val="0"/>
                <w:bCs w:val="0"/>
                <w:sz w:val="22"/>
                <w:szCs w:val="22"/>
              </w:rPr>
              <w:t xml:space="preserve">Tezpur University being a Central University does not require to submit yearly </w:t>
            </w:r>
            <w:r w:rsidRPr="005C2B0C">
              <w:rPr>
                <w:b w:val="0"/>
                <w:bCs w:val="0"/>
                <w:sz w:val="22"/>
                <w:szCs w:val="22"/>
              </w:rPr>
              <w:t>admission</w:t>
            </w:r>
            <w:r w:rsidRPr="005C2B0C">
              <w:rPr>
                <w:b w:val="0"/>
                <w:bCs w:val="0"/>
                <w:sz w:val="22"/>
                <w:szCs w:val="22"/>
              </w:rPr>
              <w:t xml:space="preserve"> extract to the state OBC, SC and ST cell. However, the University submits admission extracts to UGC, which is </w:t>
            </w:r>
            <w:r>
              <w:rPr>
                <w:b w:val="0"/>
                <w:bCs w:val="0"/>
                <w:sz w:val="22"/>
                <w:szCs w:val="22"/>
              </w:rPr>
              <w:t xml:space="preserve">provided in the following </w:t>
            </w:r>
            <w:r w:rsidRPr="005C2B0C">
              <w:rPr>
                <w:b w:val="0"/>
                <w:bCs w:val="0"/>
                <w:sz w:val="22"/>
                <w:szCs w:val="22"/>
              </w:rPr>
              <w:t>link</w:t>
            </w:r>
            <w:r w:rsidR="00143EBD">
              <w:rPr>
                <w:b w:val="0"/>
                <w:bCs w:val="0"/>
                <w:sz w:val="22"/>
                <w:szCs w:val="22"/>
              </w:rPr>
              <w:t>:</w:t>
            </w:r>
          </w:p>
          <w:p w14:paraId="74A5B5DF" w14:textId="213F5EA5" w:rsidR="005C2B0C" w:rsidRDefault="005C2B0C" w:rsidP="00E76B24">
            <w:pPr>
              <w:pStyle w:val="BodyText"/>
              <w:tabs>
                <w:tab w:val="left" w:pos="0"/>
              </w:tabs>
              <w:ind w:left="51" w:hanging="51"/>
              <w:rPr>
                <w:sz w:val="22"/>
                <w:szCs w:val="22"/>
              </w:rPr>
            </w:pPr>
            <w:r w:rsidRPr="005C2B0C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 xml:space="preserve">  </w:t>
            </w:r>
          </w:p>
          <w:p w14:paraId="5681AC73" w14:textId="3433FE16" w:rsidR="005C2B0C" w:rsidRPr="005C2B0C" w:rsidRDefault="005C2B0C" w:rsidP="00E76B24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  <w:hyperlink r:id="rId14" w:history="1">
              <w:r w:rsidRPr="005C2B0C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https://luit.tezu.ernet.in/naac2/DVV/Criterion_2/2.1.2/2.1.2_Admission_extract_submitted_to_UGC.pdf</w:t>
              </w:r>
            </w:hyperlink>
            <w:r w:rsidRPr="005C2B0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2C780634" w14:textId="77777777" w:rsidR="00E76B24" w:rsidRDefault="00E76B24" w:rsidP="00E76B24">
            <w:pPr>
              <w:pStyle w:val="BodyText"/>
              <w:tabs>
                <w:tab w:val="left" w:pos="0"/>
              </w:tabs>
              <w:ind w:left="51" w:hanging="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5BC1AB7C" w14:textId="77777777" w:rsidR="00E76B24" w:rsidRPr="00A40E3C" w:rsidRDefault="00E76B24" w:rsidP="00E76B24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596F173" w14:textId="391EDE2D" w:rsidR="00A40E3C" w:rsidRDefault="00A40E3C"/>
    <w:p w14:paraId="703E3904" w14:textId="1E1E3209" w:rsidR="00A40E3C" w:rsidRDefault="00A40E3C"/>
    <w:p w14:paraId="0772462F" w14:textId="45FB346B" w:rsidR="00A40E3C" w:rsidRDefault="00A40E3C"/>
    <w:p w14:paraId="5116C151" w14:textId="71030F19" w:rsidR="00A40E3C" w:rsidRDefault="00A40E3C"/>
    <w:p w14:paraId="1D6727A6" w14:textId="1968BEA2" w:rsidR="00A40E3C" w:rsidRDefault="00A40E3C"/>
    <w:p w14:paraId="62661096" w14:textId="00972C21" w:rsidR="00A40E3C" w:rsidRDefault="00A40E3C"/>
    <w:p w14:paraId="4284951A" w14:textId="7358D93D" w:rsidR="00A40E3C" w:rsidRDefault="00A40E3C"/>
    <w:p w14:paraId="3292F9D0" w14:textId="4B8675C1" w:rsidR="00A40E3C" w:rsidRDefault="00A40E3C"/>
    <w:p w14:paraId="00605B1D" w14:textId="0B940D87" w:rsidR="00A40E3C" w:rsidRDefault="00A40E3C"/>
    <w:p w14:paraId="49D7AB0B" w14:textId="71C99349" w:rsidR="00A40E3C" w:rsidRDefault="00A40E3C"/>
    <w:p w14:paraId="5D244151" w14:textId="52EAAC8C" w:rsidR="00A40E3C" w:rsidRDefault="00A40E3C"/>
    <w:p w14:paraId="0FEA54D3" w14:textId="2BC4CD96" w:rsidR="00A40E3C" w:rsidRDefault="00A40E3C"/>
    <w:p w14:paraId="380FD067" w14:textId="51BAE23F" w:rsidR="00A40E3C" w:rsidRDefault="00A40E3C"/>
    <w:p w14:paraId="09867B22" w14:textId="072E7E94" w:rsidR="00A40E3C" w:rsidRDefault="00A40E3C"/>
    <w:p w14:paraId="1DBAA239" w14:textId="1BEE2FDD" w:rsidR="00A40E3C" w:rsidRDefault="00A40E3C"/>
    <w:p w14:paraId="1BAEEBE2" w14:textId="209BF23A" w:rsidR="00A40E3C" w:rsidRDefault="00A40E3C"/>
    <w:p w14:paraId="19A86C98" w14:textId="6D5ACEAB" w:rsidR="00A40E3C" w:rsidRDefault="00A40E3C"/>
    <w:p w14:paraId="41EF07C9" w14:textId="4D04473B" w:rsidR="00A40E3C" w:rsidRPr="00A40E3C" w:rsidRDefault="00E56976" w:rsidP="00A40E3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 w:bidi="as-IN"/>
        </w:rPr>
      </w:pPr>
      <w:r>
        <w:rPr>
          <w:noProof/>
        </w:rPr>
        <w:pict w14:anchorId="20753F26">
          <v:rect id="Control 9" o:spid="_x0000_s2068" style="position:absolute;margin-left:45.35pt;margin-top:238.6pt;width:513.9pt;height:458.1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" filled="f" stroked="f" strokeweight="2pt">
            <v:shadow color="black [0]"/>
            <o:lock v:ext="edit" shapetype="t"/>
            <v:textbox inset="0,0,0,0"/>
          </v:rect>
        </w:pict>
      </w:r>
    </w:p>
    <w:p w14:paraId="4FB772F3" w14:textId="77777777" w:rsidR="00A40E3C" w:rsidRDefault="00A40E3C"/>
    <w:sectPr w:rsidR="00A40E3C" w:rsidSect="00CC3562">
      <w:headerReference w:type="default" r:id="rId15"/>
      <w:footerReference w:type="default" r:id="rId16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5767" w14:textId="77777777" w:rsidR="00E56976" w:rsidRDefault="00E56976" w:rsidP="00C443B7">
      <w:r>
        <w:separator/>
      </w:r>
    </w:p>
  </w:endnote>
  <w:endnote w:type="continuationSeparator" w:id="0">
    <w:p w14:paraId="3C6A4A7B" w14:textId="77777777" w:rsidR="00E56976" w:rsidRDefault="00E56976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4020" w14:textId="77777777" w:rsidR="00E56976" w:rsidRDefault="00E56976" w:rsidP="00C443B7">
      <w:r>
        <w:separator/>
      </w:r>
    </w:p>
  </w:footnote>
  <w:footnote w:type="continuationSeparator" w:id="0">
    <w:p w14:paraId="73850FC5" w14:textId="77777777" w:rsidR="00E56976" w:rsidRDefault="00E56976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proofErr w:type="gramStart"/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</w:t>
    </w:r>
    <w:proofErr w:type="gramEnd"/>
    <w:r w:rsidRPr="00CC3562">
      <w:rPr>
        <w:sz w:val="24"/>
      </w:rPr>
      <w:t xml:space="preserve">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proofErr w:type="spellStart"/>
    <w:r w:rsidR="00C443B7" w:rsidRPr="00CC3562">
      <w:rPr>
        <w:rFonts w:ascii="Nirmala UI" w:hAnsi="Nirmala UI" w:cs="Nirmala UI"/>
        <w:sz w:val="24"/>
      </w:rPr>
      <w:t>असम</w:t>
    </w:r>
    <w:proofErr w:type="spellEnd"/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3EBD"/>
    <w:rsid w:val="00147048"/>
    <w:rsid w:val="0015405D"/>
    <w:rsid w:val="00155BD1"/>
    <w:rsid w:val="0015626F"/>
    <w:rsid w:val="001711B5"/>
    <w:rsid w:val="001749A2"/>
    <w:rsid w:val="00177540"/>
    <w:rsid w:val="00181070"/>
    <w:rsid w:val="001B1C63"/>
    <w:rsid w:val="001C24D7"/>
    <w:rsid w:val="001E4187"/>
    <w:rsid w:val="001E51CC"/>
    <w:rsid w:val="00201A4C"/>
    <w:rsid w:val="00201DD9"/>
    <w:rsid w:val="00207023"/>
    <w:rsid w:val="002117AD"/>
    <w:rsid w:val="00212AAA"/>
    <w:rsid w:val="002170FE"/>
    <w:rsid w:val="002255DF"/>
    <w:rsid w:val="00230EA8"/>
    <w:rsid w:val="00251779"/>
    <w:rsid w:val="00253FB2"/>
    <w:rsid w:val="0028230D"/>
    <w:rsid w:val="0028327E"/>
    <w:rsid w:val="00287154"/>
    <w:rsid w:val="00293F07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621E9"/>
    <w:rsid w:val="00567B35"/>
    <w:rsid w:val="00587C38"/>
    <w:rsid w:val="00593B28"/>
    <w:rsid w:val="005A1145"/>
    <w:rsid w:val="005A59B5"/>
    <w:rsid w:val="005C2B0C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A5431"/>
    <w:rsid w:val="006A5EAC"/>
    <w:rsid w:val="006B59C1"/>
    <w:rsid w:val="006B670C"/>
    <w:rsid w:val="006C107A"/>
    <w:rsid w:val="006E3659"/>
    <w:rsid w:val="006E616E"/>
    <w:rsid w:val="006F14A7"/>
    <w:rsid w:val="0071427B"/>
    <w:rsid w:val="007177F1"/>
    <w:rsid w:val="00730897"/>
    <w:rsid w:val="0073091F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F4CF6"/>
    <w:rsid w:val="007F7042"/>
    <w:rsid w:val="00800969"/>
    <w:rsid w:val="008058E3"/>
    <w:rsid w:val="008064FC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F1DEE"/>
    <w:rsid w:val="00912A09"/>
    <w:rsid w:val="00915BE5"/>
    <w:rsid w:val="009161AC"/>
    <w:rsid w:val="0091628E"/>
    <w:rsid w:val="00920CAF"/>
    <w:rsid w:val="0092337D"/>
    <w:rsid w:val="00924A3C"/>
    <w:rsid w:val="0093103F"/>
    <w:rsid w:val="009322F4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55EC"/>
    <w:rsid w:val="00A46A7C"/>
    <w:rsid w:val="00A57BFB"/>
    <w:rsid w:val="00A71C0A"/>
    <w:rsid w:val="00A80492"/>
    <w:rsid w:val="00A8341A"/>
    <w:rsid w:val="00A90467"/>
    <w:rsid w:val="00A90999"/>
    <w:rsid w:val="00A914D1"/>
    <w:rsid w:val="00AA63AF"/>
    <w:rsid w:val="00AB314D"/>
    <w:rsid w:val="00AC1C5F"/>
    <w:rsid w:val="00AE1A5C"/>
    <w:rsid w:val="00AE3383"/>
    <w:rsid w:val="00AE6D5F"/>
    <w:rsid w:val="00B00FF9"/>
    <w:rsid w:val="00B014B5"/>
    <w:rsid w:val="00B10344"/>
    <w:rsid w:val="00B16E42"/>
    <w:rsid w:val="00B170E2"/>
    <w:rsid w:val="00B45886"/>
    <w:rsid w:val="00B624FD"/>
    <w:rsid w:val="00B65F59"/>
    <w:rsid w:val="00B662D9"/>
    <w:rsid w:val="00B7573C"/>
    <w:rsid w:val="00B807B7"/>
    <w:rsid w:val="00B90708"/>
    <w:rsid w:val="00B93D14"/>
    <w:rsid w:val="00BB015B"/>
    <w:rsid w:val="00BF3F0D"/>
    <w:rsid w:val="00BF6BCF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421B"/>
    <w:rsid w:val="00E373FE"/>
    <w:rsid w:val="00E4100D"/>
    <w:rsid w:val="00E56976"/>
    <w:rsid w:val="00E76B24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2051"/>
    <w:rsid w:val="00F0342D"/>
    <w:rsid w:val="00F05CC2"/>
    <w:rsid w:val="00F11FF8"/>
    <w:rsid w:val="00F36495"/>
    <w:rsid w:val="00F3752B"/>
    <w:rsid w:val="00F4119F"/>
    <w:rsid w:val="00F441EB"/>
    <w:rsid w:val="00F44B56"/>
    <w:rsid w:val="00F47CCE"/>
    <w:rsid w:val="00F55E8B"/>
    <w:rsid w:val="00F625B7"/>
    <w:rsid w:val="00F72049"/>
    <w:rsid w:val="00F771AB"/>
    <w:rsid w:val="00F77901"/>
    <w:rsid w:val="00F82536"/>
    <w:rsid w:val="00F8278C"/>
    <w:rsid w:val="00F82800"/>
    <w:rsid w:val="00F8546D"/>
    <w:rsid w:val="00F9618F"/>
    <w:rsid w:val="00FA212D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1.2/Govt._Notification_on_reservation.pdf" TargetMode="External"/><Relationship Id="rId13" Type="http://schemas.openxmlformats.org/officeDocument/2006/relationships/hyperlink" Target="https://luit.tezu.ernet.in/naac2/DVV/Criterion_2/2.1.2/Student_admission_list_2020-2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it.tezu.ernet.in/naac2/DVV/Criterion_2/2.1.2/Student_admission_list_2019-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it.tezu.ernet.in/naac2/DVV/Criterion_2/2.1.2/Student_admission_list_2018-1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uit.tezu.ernet.in/naac2/DVV/Criterion_2/2.1.2/Student_admission_list_2017-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1.2/Student_admission_list_2016-17.pdf" TargetMode="External"/><Relationship Id="rId14" Type="http://schemas.openxmlformats.org/officeDocument/2006/relationships/hyperlink" Target="https://luit.tezu.ernet.in/naac2/DVV/Criterion_2/2.1.2/2.1.2_Admission_extract_submitted_to_UG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337</cp:revision>
  <cp:lastPrinted>2022-02-20T10:30:00Z</cp:lastPrinted>
  <dcterms:created xsi:type="dcterms:W3CDTF">2021-12-26T11:18:00Z</dcterms:created>
  <dcterms:modified xsi:type="dcterms:W3CDTF">2022-02-20T10:31:00Z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